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D" w:rsidRDefault="00ED1FCD" w:rsidP="0042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A1ABD" wp14:editId="13A0797D">
                <wp:simplePos x="0" y="0"/>
                <wp:positionH relativeFrom="column">
                  <wp:posOffset>819150</wp:posOffset>
                </wp:positionH>
                <wp:positionV relativeFrom="paragraph">
                  <wp:posOffset>-200025</wp:posOffset>
                </wp:positionV>
                <wp:extent cx="4733290" cy="923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29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FCD" w:rsidRPr="00ED1FCD" w:rsidRDefault="00ED1FCD" w:rsidP="00ED1FC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</w:pPr>
                            <w:r w:rsidRPr="00ED1FCD">
                              <w:rPr>
                                <w:rFonts w:asciiTheme="minorHAnsi" w:hAnsiTheme="minorHAnsi"/>
                                <w:b/>
                                <w:bCs/>
                                <w:color w:val="003399"/>
                                <w:sz w:val="28"/>
                                <w:szCs w:val="28"/>
                              </w:rPr>
                              <w:t>Jeffrey Schratz, M. D., FACS    Robert Hodge, M. D., FACS</w:t>
                            </w:r>
                          </w:p>
                          <w:p w:rsidR="00ED1FCD" w:rsidRPr="00ED1FCD" w:rsidRDefault="00ED1FCD" w:rsidP="00ED1FC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color w:val="003399"/>
                              </w:rPr>
                            </w:pPr>
                            <w:r w:rsidRPr="00ED1FCD">
                              <w:rPr>
                                <w:rFonts w:asciiTheme="minorHAnsi" w:hAnsiTheme="minorHAnsi"/>
                                <w:b/>
                                <w:color w:val="003399"/>
                              </w:rPr>
                              <w:t>GENERAL, VASCULAR AND LAPAROSCOPIC SURGERY</w:t>
                            </w:r>
                          </w:p>
                          <w:p w:rsidR="00ED1FCD" w:rsidRPr="00ED1FCD" w:rsidRDefault="00ED1FCD" w:rsidP="00ED1FC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/>
                                <w:color w:val="003399"/>
                              </w:rPr>
                            </w:pPr>
                            <w:r w:rsidRPr="00ED1FCD">
                              <w:rPr>
                                <w:rFonts w:asciiTheme="minorHAnsi" w:hAnsiTheme="minorHAnsi"/>
                                <w:color w:val="003399"/>
                              </w:rPr>
                              <w:t>160 East Avenue, Lockport, New York 14094</w:t>
                            </w:r>
                          </w:p>
                          <w:p w:rsidR="00ED1FCD" w:rsidRPr="00ED1FCD" w:rsidRDefault="00ED1FCD" w:rsidP="00ED1FCD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Theme="minorHAnsi" w:hAnsiTheme="minorHAnsi"/>
                                <w:color w:val="003399"/>
                              </w:rPr>
                            </w:pPr>
                            <w:r w:rsidRPr="00ED1FCD">
                              <w:rPr>
                                <w:rFonts w:asciiTheme="minorHAnsi" w:hAnsiTheme="minorHAnsi"/>
                                <w:color w:val="003399"/>
                              </w:rPr>
                              <w:t>Phone:  (716) 434-6141           Fax: (716) 434-0594</w:t>
                            </w:r>
                          </w:p>
                          <w:p w:rsidR="00ED1FCD" w:rsidRDefault="00ED1FCD" w:rsidP="00ED1FCD">
                            <w:pPr>
                              <w:tabs>
                                <w:tab w:val="left" w:pos="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4.5pt;margin-top:-15.75pt;width:372.7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" stroked="f">
                <v:textbox>
                  <w:txbxContent>
                    <w:p w:rsidR="00ED1FCD" w:rsidRPr="00ED1FCD" w:rsidRDefault="00ED1FCD" w:rsidP="00ED1FC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003399"/>
                          <w:sz w:val="28"/>
                          <w:szCs w:val="28"/>
                        </w:rPr>
                      </w:pPr>
                      <w:r w:rsidRPr="00ED1FCD">
                        <w:rPr>
                          <w:rFonts w:asciiTheme="minorHAnsi" w:hAnsiTheme="minorHAnsi"/>
                          <w:b/>
                          <w:bCs/>
                          <w:color w:val="003399"/>
                          <w:sz w:val="28"/>
                          <w:szCs w:val="28"/>
                        </w:rPr>
                        <w:t>Jeffrey Schratz, M. D., FACS    Robert Hodge, M. D., FACS</w:t>
                      </w:r>
                    </w:p>
                    <w:p w:rsidR="00ED1FCD" w:rsidRPr="00ED1FCD" w:rsidRDefault="00ED1FCD" w:rsidP="00ED1FC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/>
                          <w:b/>
                          <w:color w:val="003399"/>
                        </w:rPr>
                      </w:pPr>
                      <w:r w:rsidRPr="00ED1FCD">
                        <w:rPr>
                          <w:rFonts w:asciiTheme="minorHAnsi" w:hAnsiTheme="minorHAnsi"/>
                          <w:b/>
                          <w:color w:val="003399"/>
                        </w:rPr>
                        <w:t>GENERAL, VASCULAR AND LAPAROSCOPIC SURGERY</w:t>
                      </w:r>
                    </w:p>
                    <w:p w:rsidR="00ED1FCD" w:rsidRPr="00ED1FCD" w:rsidRDefault="00ED1FCD" w:rsidP="00ED1FC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/>
                          <w:color w:val="003399"/>
                        </w:rPr>
                      </w:pPr>
                      <w:r w:rsidRPr="00ED1FCD">
                        <w:rPr>
                          <w:rFonts w:asciiTheme="minorHAnsi" w:hAnsiTheme="minorHAnsi"/>
                          <w:color w:val="003399"/>
                        </w:rPr>
                        <w:t>160 East Avenue, Lockport, New York 14094</w:t>
                      </w:r>
                    </w:p>
                    <w:p w:rsidR="00ED1FCD" w:rsidRPr="00ED1FCD" w:rsidRDefault="00ED1FCD" w:rsidP="00ED1FCD">
                      <w:pPr>
                        <w:tabs>
                          <w:tab w:val="left" w:pos="0"/>
                        </w:tabs>
                        <w:jc w:val="center"/>
                        <w:rPr>
                          <w:rFonts w:asciiTheme="minorHAnsi" w:hAnsiTheme="minorHAnsi"/>
                          <w:color w:val="003399"/>
                        </w:rPr>
                      </w:pPr>
                      <w:r w:rsidRPr="00ED1FCD">
                        <w:rPr>
                          <w:rFonts w:asciiTheme="minorHAnsi" w:hAnsiTheme="minorHAnsi"/>
                          <w:color w:val="003399"/>
                        </w:rPr>
                        <w:t>Phone:  (716) 434-6141           Fax: (716) 434-0594</w:t>
                      </w:r>
                    </w:p>
                    <w:p w:rsidR="00ED1FCD" w:rsidRDefault="00ED1FCD" w:rsidP="00ED1FCD">
                      <w:pPr>
                        <w:tabs>
                          <w:tab w:val="left" w:pos="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DE575E3" wp14:editId="06E852B8">
            <wp:simplePos x="0" y="0"/>
            <wp:positionH relativeFrom="column">
              <wp:posOffset>-533400</wp:posOffset>
            </wp:positionH>
            <wp:positionV relativeFrom="paragraph">
              <wp:posOffset>-237490</wp:posOffset>
            </wp:positionV>
            <wp:extent cx="1511503" cy="1085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03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1FCD" w:rsidRDefault="00ED1FCD" w:rsidP="0042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1FCD" w:rsidRDefault="00ED1FCD" w:rsidP="0042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1FCD" w:rsidRDefault="00ED1FCD" w:rsidP="0042688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ED1FCD" w:rsidRPr="00110E58" w:rsidRDefault="00ED1FCD" w:rsidP="004268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26882" w:rsidRDefault="00426882" w:rsidP="00E16DA5">
      <w:pPr>
        <w:autoSpaceDE w:val="0"/>
        <w:autoSpaceDN w:val="0"/>
        <w:adjustRightInd w:val="0"/>
        <w:jc w:val="center"/>
        <w:rPr>
          <w:b/>
          <w:bCs/>
          <w:caps/>
        </w:rPr>
      </w:pPr>
      <w:r w:rsidRPr="00E16DA5">
        <w:rPr>
          <w:b/>
          <w:bCs/>
          <w:caps/>
        </w:rPr>
        <w:t>Health Insurance Portability and Accountability Act (HIPAA)</w:t>
      </w:r>
    </w:p>
    <w:p w:rsidR="00E16DA5" w:rsidRPr="00E16DA5" w:rsidRDefault="00E16DA5" w:rsidP="00E16D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E16DA5">
        <w:rPr>
          <w:b/>
          <w:bCs/>
          <w:i/>
        </w:rPr>
        <w:t>Please carefully review this document</w:t>
      </w:r>
    </w:p>
    <w:p w:rsidR="00426882" w:rsidRPr="00E16DA5" w:rsidRDefault="00426882" w:rsidP="00426882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E16DA5">
        <w:rPr>
          <w:b/>
          <w:bCs/>
          <w:sz w:val="22"/>
          <w:szCs w:val="22"/>
        </w:rPr>
        <w:t>General Information</w:t>
      </w:r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Information about your treatment and care, including payment for care, is protected by two federal laws:</w:t>
      </w:r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 xml:space="preserve">The Health Insurance Portability and Accountability Act of 1996 (“HIPAA”) and the Confidentiality Law. </w:t>
      </w:r>
      <w:r w:rsidR="00110E58" w:rsidRPr="00E16DA5">
        <w:rPr>
          <w:sz w:val="22"/>
          <w:szCs w:val="22"/>
        </w:rPr>
        <w:t xml:space="preserve"> </w:t>
      </w:r>
      <w:r w:rsidRPr="00E16DA5">
        <w:rPr>
          <w:sz w:val="22"/>
          <w:szCs w:val="22"/>
        </w:rPr>
        <w:t xml:space="preserve">Under these laws the practice must obtain your written consent before it can disclose information about you for payment purposes. </w:t>
      </w:r>
      <w:r w:rsidR="00110E58" w:rsidRPr="00E16DA5">
        <w:rPr>
          <w:sz w:val="22"/>
          <w:szCs w:val="22"/>
        </w:rPr>
        <w:t xml:space="preserve"> </w:t>
      </w:r>
      <w:r w:rsidRPr="00E16DA5">
        <w:rPr>
          <w:sz w:val="22"/>
          <w:szCs w:val="22"/>
        </w:rPr>
        <w:t xml:space="preserve">For example, the practice must obtain your written consent before it can disclose any Personal Health Information (PHI). </w:t>
      </w:r>
      <w:r w:rsidR="00110E58" w:rsidRPr="00E16DA5">
        <w:rPr>
          <w:sz w:val="22"/>
          <w:szCs w:val="22"/>
        </w:rPr>
        <w:t xml:space="preserve"> </w:t>
      </w:r>
      <w:r w:rsidRPr="00E16DA5">
        <w:rPr>
          <w:sz w:val="22"/>
          <w:szCs w:val="22"/>
        </w:rPr>
        <w:t xml:space="preserve">In addition, you must also sign a written consent before the practice can share information for any and all treatment purposes. </w:t>
      </w:r>
      <w:r w:rsidR="00110E58" w:rsidRPr="00E16DA5">
        <w:rPr>
          <w:sz w:val="22"/>
          <w:szCs w:val="22"/>
        </w:rPr>
        <w:t xml:space="preserve"> </w:t>
      </w:r>
      <w:r w:rsidRPr="00E16DA5">
        <w:rPr>
          <w:sz w:val="22"/>
          <w:szCs w:val="22"/>
        </w:rPr>
        <w:t>However, federal law permits the practice to disclose information in the following circumstances without your written permission:</w:t>
      </w:r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To practice staff for the purposes of maintaining the clinical records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Pursuant to an agreement with a business associate (e.g. Clinical laboratories, pharmacy, your insurance company)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For research, audit or evaluations (e.g. State licensing review, or accreditation as required by the State and/or Federal government);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To report a crime committed on the practice’s premises or against practice staff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 xml:space="preserve">To medical personnel in a medical/psychiatric emergency 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To appropriate authorities to report suspected child abuse or neglect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To report certain infectious illnesses as required by state law</w:t>
      </w:r>
    </w:p>
    <w:p w:rsidR="00426882" w:rsidRPr="00E16DA5" w:rsidRDefault="00426882" w:rsidP="00ED1FC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>Information that is requested per a court order</w:t>
      </w:r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426882" w:rsidRPr="00E16DA5" w:rsidRDefault="00426882" w:rsidP="00426882">
      <w:pPr>
        <w:autoSpaceDE w:val="0"/>
        <w:autoSpaceDN w:val="0"/>
        <w:adjustRightInd w:val="0"/>
        <w:rPr>
          <w:sz w:val="22"/>
          <w:szCs w:val="22"/>
        </w:rPr>
      </w:pPr>
      <w:r w:rsidRPr="00E16DA5">
        <w:rPr>
          <w:sz w:val="22"/>
          <w:szCs w:val="22"/>
        </w:rPr>
        <w:t xml:space="preserve">Before the practice can use or disclose any information about your health in a manner which is not described above, it must first obtain your specific written consent allowing it to make the disclosure. </w:t>
      </w:r>
      <w:r w:rsidR="00110E58" w:rsidRPr="00E16DA5">
        <w:rPr>
          <w:sz w:val="22"/>
          <w:szCs w:val="22"/>
        </w:rPr>
        <w:t xml:space="preserve"> </w:t>
      </w:r>
      <w:r w:rsidRPr="00E16DA5">
        <w:rPr>
          <w:sz w:val="22"/>
          <w:szCs w:val="22"/>
        </w:rPr>
        <w:t xml:space="preserve">Any such written consent may be revoked by you in writing. </w:t>
      </w:r>
    </w:p>
    <w:p w:rsidR="00ED1FCD" w:rsidRDefault="00ED1FCD" w:rsidP="004268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6DA5" w:rsidRDefault="00E16DA5" w:rsidP="004268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6DA5" w:rsidRPr="00E16DA5" w:rsidRDefault="00E16DA5" w:rsidP="0042688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16DA5">
        <w:rPr>
          <w:b/>
          <w:sz w:val="22"/>
          <w:szCs w:val="22"/>
        </w:rPr>
        <w:t>Disclosure of Medical Information</w:t>
      </w:r>
    </w:p>
    <w:p w:rsidR="00E16DA5" w:rsidRDefault="00E16DA5" w:rsidP="00E16DA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I give my permission to the office of Great Lakes Surgical Associates to disclose medical information regarding my treatment/diagnosis to the following family members or friends whom you may speak with:</w:t>
      </w:r>
    </w:p>
    <w:p w:rsidR="00E16DA5" w:rsidRDefault="00E16DA5" w:rsidP="00E16DA5">
      <w:pPr>
        <w:autoSpaceDE w:val="0"/>
        <w:autoSpaceDN w:val="0"/>
        <w:adjustRightInd w:val="0"/>
        <w:rPr>
          <w:sz w:val="22"/>
          <w:szCs w:val="22"/>
        </w:rPr>
      </w:pPr>
    </w:p>
    <w:p w:rsidR="00E16DA5" w:rsidRPr="00E16DA5" w:rsidRDefault="00E16DA5" w:rsidP="00E16DA5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Relationship: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Pr="00E16DA5" w:rsidRDefault="00E16DA5" w:rsidP="00E16DA5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Relationship: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Pr="00E16DA5" w:rsidRDefault="00E16DA5" w:rsidP="00E16DA5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Relationship: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Pr="00E16DA5" w:rsidRDefault="00E16DA5" w:rsidP="00E16DA5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Relationship: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Pr="00E16DA5" w:rsidRDefault="00E16DA5" w:rsidP="00E16DA5">
      <w:pPr>
        <w:autoSpaceDE w:val="0"/>
        <w:autoSpaceDN w:val="0"/>
        <w:adjustRightInd w:val="0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Relationship: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 Phone: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Default="00E16DA5" w:rsidP="004268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6DA5" w:rsidRDefault="00E16DA5" w:rsidP="004268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16DA5" w:rsidRPr="00E16DA5" w:rsidRDefault="00E16DA5" w:rsidP="00E16DA5">
      <w:pPr>
        <w:autoSpaceDE w:val="0"/>
        <w:autoSpaceDN w:val="0"/>
        <w:adjustRightInd w:val="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Patient’s Signature: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16DA5" w:rsidRPr="00E16DA5" w:rsidRDefault="00E16DA5" w:rsidP="00426882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26882" w:rsidRPr="00110E58" w:rsidRDefault="00426882" w:rsidP="00E16DA5">
      <w:pPr>
        <w:autoSpaceDE w:val="0"/>
        <w:autoSpaceDN w:val="0"/>
        <w:adjustRightInd w:val="0"/>
        <w:jc w:val="center"/>
      </w:pPr>
      <w:r w:rsidRPr="00110E58">
        <w:t>**Copies are available at your request**</w:t>
      </w:r>
    </w:p>
    <w:sectPr w:rsidR="00426882" w:rsidRPr="00110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EB3"/>
    <w:multiLevelType w:val="hybridMultilevel"/>
    <w:tmpl w:val="72B62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37E4"/>
    <w:multiLevelType w:val="hybridMultilevel"/>
    <w:tmpl w:val="BD9CA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82"/>
    <w:rsid w:val="00110E58"/>
    <w:rsid w:val="002D090C"/>
    <w:rsid w:val="00426882"/>
    <w:rsid w:val="005D6B0E"/>
    <w:rsid w:val="0097609A"/>
    <w:rsid w:val="00BF2538"/>
    <w:rsid w:val="00C646E1"/>
    <w:rsid w:val="00E16DA5"/>
    <w:rsid w:val="00ED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0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Work4</dc:creator>
  <cp:lastModifiedBy>Work10</cp:lastModifiedBy>
  <cp:revision>2</cp:revision>
  <cp:lastPrinted>2014-02-20T17:01:00Z</cp:lastPrinted>
  <dcterms:created xsi:type="dcterms:W3CDTF">2014-02-28T20:20:00Z</dcterms:created>
  <dcterms:modified xsi:type="dcterms:W3CDTF">2014-02-28T20:20:00Z</dcterms:modified>
</cp:coreProperties>
</file>